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5B737FFE" w14:textId="77777777" w:rsidR="00287041" w:rsidRPr="00DF2D77" w:rsidRDefault="00287041" w:rsidP="00287041">
      <w:pPr>
        <w:spacing w:after="0" w:line="240" w:lineRule="auto"/>
        <w:ind w:left="1080" w:hanging="1080"/>
        <w:rPr>
          <w:rFonts w:cs="Arial"/>
          <w:b/>
          <w:szCs w:val="22"/>
        </w:rPr>
      </w:pPr>
      <w:r w:rsidRPr="00DF2D77">
        <w:rPr>
          <w:rFonts w:cs="Arial"/>
          <w:b/>
          <w:bCs/>
          <w:szCs w:val="22"/>
        </w:rPr>
        <w:t>Příkazce</w:t>
      </w:r>
      <w:r w:rsidRPr="00DF2D77">
        <w:rPr>
          <w:rFonts w:cs="Arial"/>
          <w:b/>
          <w:szCs w:val="22"/>
        </w:rPr>
        <w:t xml:space="preserve">: </w:t>
      </w:r>
    </w:p>
    <w:p w14:paraId="79020DEF" w14:textId="77777777" w:rsidR="00287041" w:rsidRPr="00DF2D77" w:rsidRDefault="00287041" w:rsidP="00287041">
      <w:pPr>
        <w:spacing w:after="0" w:line="240" w:lineRule="auto"/>
        <w:ind w:left="1080" w:hanging="1080"/>
        <w:rPr>
          <w:rFonts w:cs="Arial"/>
          <w:b/>
          <w:szCs w:val="22"/>
        </w:rPr>
      </w:pPr>
    </w:p>
    <w:p w14:paraId="5EDD81C8" w14:textId="77777777" w:rsidR="00287041" w:rsidRPr="00584922" w:rsidRDefault="00287041" w:rsidP="00287041">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72C8CE83" w14:textId="77777777" w:rsidR="00287041" w:rsidRDefault="00287041" w:rsidP="00287041">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0" w:name="_Hlk13731914"/>
      <w:r w:rsidRPr="001C04F6">
        <w:rPr>
          <w:rFonts w:cs="Arial"/>
          <w:b/>
          <w:szCs w:val="22"/>
        </w:rPr>
        <w:t>pro Pardubický kraj,</w:t>
      </w:r>
    </w:p>
    <w:p w14:paraId="1CA77745" w14:textId="77777777" w:rsidR="00287041" w:rsidRPr="00584922" w:rsidRDefault="00287041" w:rsidP="00287041">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0"/>
      <w:r w:rsidRPr="00584922">
        <w:rPr>
          <w:rFonts w:cs="Arial"/>
          <w:szCs w:val="22"/>
        </w:rPr>
        <w:tab/>
      </w:r>
      <w:r w:rsidRPr="00584922">
        <w:rPr>
          <w:rFonts w:cs="Arial"/>
          <w:szCs w:val="22"/>
        </w:rPr>
        <w:tab/>
      </w:r>
    </w:p>
    <w:p w14:paraId="5F975952" w14:textId="77777777" w:rsidR="00287041"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14:paraId="4C4A9507" w14:textId="77777777" w:rsidR="00287041" w:rsidRPr="001C04F6" w:rsidRDefault="00287041" w:rsidP="00287041">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14:paraId="6443F925" w14:textId="77777777" w:rsidR="00287041" w:rsidRPr="001C04F6" w:rsidRDefault="00287041" w:rsidP="00287041">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1" w:name="_Hlk13731963"/>
      <w:r w:rsidRPr="001C04F6">
        <w:rPr>
          <w:rFonts w:eastAsia="Lucida Sans Unicode" w:cs="Arial"/>
          <w:szCs w:val="22"/>
        </w:rPr>
        <w:t>Ing. Hana Jeníčková, Ph.D. – vedoucí pobočky Ústí nad Orlicí</w:t>
      </w:r>
      <w:bookmarkEnd w:id="1"/>
    </w:p>
    <w:p w14:paraId="1EB9E4D9"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14:paraId="5C8D1B97"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2" w:name="_Hlk13731947"/>
      <w:r w:rsidRPr="001C04F6">
        <w:rPr>
          <w:rFonts w:eastAsia="Lucida Sans Unicode" w:cs="Arial"/>
          <w:szCs w:val="22"/>
        </w:rPr>
        <w:t>Tvardkova 1191, 562 01 Ústí nad Orlicí</w:t>
      </w:r>
      <w:bookmarkEnd w:id="2"/>
    </w:p>
    <w:p w14:paraId="2C6869FD"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14:paraId="3CB6EB99"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14:paraId="50791A82"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14:paraId="50FAC378"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14:paraId="3F29AF0E"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14:paraId="3D2D8B78"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14:paraId="174C5D34"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14:paraId="67A048DD" w14:textId="77777777" w:rsidR="00287041" w:rsidRPr="00584922" w:rsidRDefault="00287041" w:rsidP="00287041">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14:paraId="0B18303D" w14:textId="77777777" w:rsidR="00287041" w:rsidRPr="00584922" w:rsidRDefault="00287041" w:rsidP="00287041">
      <w:pPr>
        <w:tabs>
          <w:tab w:val="left" w:pos="0"/>
        </w:tabs>
        <w:spacing w:after="0" w:line="240" w:lineRule="auto"/>
        <w:rPr>
          <w:rFonts w:cs="Arial"/>
          <w:szCs w:val="22"/>
        </w:rPr>
      </w:pPr>
    </w:p>
    <w:p w14:paraId="39FF417E" w14:textId="77777777" w:rsidR="00287041" w:rsidRPr="00584922" w:rsidRDefault="00287041" w:rsidP="00287041">
      <w:pPr>
        <w:spacing w:after="0"/>
        <w:rPr>
          <w:rFonts w:cs="Arial"/>
          <w:szCs w:val="22"/>
        </w:rPr>
      </w:pPr>
      <w:r w:rsidRPr="00584922">
        <w:rPr>
          <w:rFonts w:cs="Arial"/>
          <w:szCs w:val="22"/>
        </w:rPr>
        <w:t>(dále jen „příkazce“)</w:t>
      </w:r>
      <w:r w:rsidRPr="00584922">
        <w:rPr>
          <w:rFonts w:cs="Arial"/>
          <w:szCs w:val="22"/>
        </w:rPr>
        <w:tab/>
      </w:r>
    </w:p>
    <w:p w14:paraId="26999DF4" w14:textId="689C9E58" w:rsidR="0066453C" w:rsidRPr="00AB5E77" w:rsidRDefault="0066453C" w:rsidP="0066453C">
      <w:pPr>
        <w:spacing w:after="0"/>
        <w:rPr>
          <w:rFonts w:cs="Arial"/>
          <w:szCs w:val="22"/>
        </w:rPr>
      </w:pP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620C9091" w:rsidR="00667832" w:rsidRDefault="00667832" w:rsidP="0077221F">
      <w:pPr>
        <w:spacing w:after="0"/>
        <w:rPr>
          <w:rFonts w:cs="Arial"/>
          <w:szCs w:val="22"/>
        </w:rPr>
      </w:pPr>
    </w:p>
    <w:p w14:paraId="1712F8E6" w14:textId="4DE34A73" w:rsidR="000D5AA8" w:rsidRDefault="000D5AA8" w:rsidP="0077221F">
      <w:pPr>
        <w:spacing w:after="0"/>
        <w:rPr>
          <w:rFonts w:cs="Arial"/>
          <w:szCs w:val="22"/>
        </w:rPr>
      </w:pPr>
    </w:p>
    <w:p w14:paraId="23ABEEC7" w14:textId="77777777" w:rsidR="000D5AA8" w:rsidRDefault="000D5AA8"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lastRenderedPageBreak/>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21FB29B4"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3"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End w:id="3"/>
      <w:proofErr w:type="spellStart"/>
      <w:r w:rsidR="00287041">
        <w:rPr>
          <w:rFonts w:cs="Arial"/>
          <w:b/>
          <w:szCs w:val="22"/>
          <w:lang w:val="en-US"/>
        </w:rPr>
        <w:t>Realizace</w:t>
      </w:r>
      <w:proofErr w:type="spellEnd"/>
      <w:r w:rsidR="00287041">
        <w:rPr>
          <w:rFonts w:cs="Arial"/>
          <w:b/>
          <w:szCs w:val="22"/>
          <w:lang w:val="en-US"/>
        </w:rPr>
        <w:t xml:space="preserve"> </w:t>
      </w:r>
      <w:proofErr w:type="spellStart"/>
      <w:r w:rsidR="00287041">
        <w:rPr>
          <w:rFonts w:cs="Arial"/>
          <w:b/>
          <w:szCs w:val="22"/>
          <w:lang w:val="en-US"/>
        </w:rPr>
        <w:t>společných</w:t>
      </w:r>
      <w:proofErr w:type="spellEnd"/>
      <w:r w:rsidR="00287041">
        <w:rPr>
          <w:rFonts w:cs="Arial"/>
          <w:b/>
          <w:szCs w:val="22"/>
          <w:lang w:val="en-US"/>
        </w:rPr>
        <w:t xml:space="preserve"> </w:t>
      </w:r>
      <w:proofErr w:type="spellStart"/>
      <w:r w:rsidR="00287041">
        <w:rPr>
          <w:rFonts w:cs="Arial"/>
          <w:b/>
          <w:szCs w:val="22"/>
          <w:lang w:val="en-US"/>
        </w:rPr>
        <w:t>zařízení</w:t>
      </w:r>
      <w:proofErr w:type="spellEnd"/>
      <w:r w:rsidR="00287041">
        <w:rPr>
          <w:rFonts w:cs="Arial"/>
          <w:b/>
          <w:szCs w:val="22"/>
          <w:lang w:val="en-US"/>
        </w:rPr>
        <w:t xml:space="preserve"> v </w:t>
      </w:r>
      <w:proofErr w:type="spellStart"/>
      <w:r w:rsidR="00287041">
        <w:rPr>
          <w:rFonts w:cs="Arial"/>
          <w:b/>
          <w:szCs w:val="22"/>
          <w:lang w:val="en-US"/>
        </w:rPr>
        <w:t>k.ú</w:t>
      </w:r>
      <w:proofErr w:type="spellEnd"/>
      <w:r w:rsidR="00287041">
        <w:rPr>
          <w:rFonts w:cs="Arial"/>
          <w:b/>
          <w:szCs w:val="22"/>
          <w:lang w:val="en-US"/>
        </w:rPr>
        <w:t xml:space="preserve">. </w:t>
      </w:r>
      <w:r w:rsidR="00D36306">
        <w:rPr>
          <w:rFonts w:cs="Arial"/>
          <w:b/>
          <w:szCs w:val="22"/>
          <w:lang w:val="en-US"/>
        </w:rPr>
        <w:t>Horní Čermná – cesta C3.</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4"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4"/>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5"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6" w:name="_Ref376517531"/>
      <w:bookmarkStart w:id="7" w:name="_Ref376500168"/>
      <w:bookmarkEnd w:id="5"/>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6"/>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7"/>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45984BC6" w14:textId="6CAB753C" w:rsidR="00287041" w:rsidRPr="00AB5E77" w:rsidRDefault="007009D2" w:rsidP="0028704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Pr="00AB5E77">
        <w:rPr>
          <w:rFonts w:cs="Arial"/>
          <w:szCs w:val="22"/>
        </w:rPr>
        <w:t xml:space="preserve"> v případě, že tato povinnost vzniká</w:t>
      </w:r>
      <w:r w:rsidR="00287041">
        <w:rPr>
          <w:rFonts w:cs="Arial"/>
          <w:szCs w:val="22"/>
        </w:rPr>
        <w:t>. P</w:t>
      </w:r>
      <w:r w:rsidR="00287041" w:rsidRPr="00AB5E77">
        <w:rPr>
          <w:rFonts w:cs="Arial"/>
          <w:szCs w:val="22"/>
        </w:rPr>
        <w:t xml:space="preserve">lán BOZP na </w:t>
      </w:r>
      <w:r w:rsidR="00287041">
        <w:rPr>
          <w:rFonts w:cs="Arial"/>
          <w:szCs w:val="22"/>
        </w:rPr>
        <w:t xml:space="preserve">stavbu </w:t>
      </w:r>
      <w:r w:rsidR="00287041" w:rsidRPr="00AB5E77">
        <w:rPr>
          <w:rFonts w:cs="Arial"/>
          <w:szCs w:val="22"/>
        </w:rPr>
        <w:t xml:space="preserve">bude </w:t>
      </w:r>
      <w:r w:rsidR="00287041" w:rsidRPr="00AB5E77">
        <w:rPr>
          <w:rFonts w:cs="Arial"/>
          <w:color w:val="000000"/>
          <w:szCs w:val="22"/>
        </w:rPr>
        <w:t>obsahovat údaje, informace a postupy zpracované v podrobnostech nezbytných pro zajištění bezpečné a zdraví neohrožující práce, a bude odsouhlasen a podepsán všemi zhotoviteli stavby.</w:t>
      </w:r>
      <w:r w:rsidR="00287041" w:rsidRPr="00AB5E77">
        <w:rPr>
          <w:rFonts w:cs="Arial"/>
          <w:color w:val="FF0000"/>
          <w:szCs w:val="22"/>
        </w:rPr>
        <w:t xml:space="preserve"> </w:t>
      </w:r>
      <w:r w:rsidR="00287041" w:rsidRPr="00AB5E77">
        <w:rPr>
          <w:rFonts w:cs="Arial"/>
          <w:szCs w:val="22"/>
        </w:rPr>
        <w:t>Plán bude předán příkazci nejpozději při předání staveniště zhotoviteli</w:t>
      </w:r>
      <w:r w:rsidR="00287041">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6D704E91"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proofErr w:type="spellStart"/>
      <w:r w:rsidR="00287041" w:rsidRPr="00287041">
        <w:rPr>
          <w:rFonts w:cs="Arial"/>
          <w:bCs/>
          <w:szCs w:val="22"/>
          <w:lang w:val="en-US"/>
        </w:rPr>
        <w:t>konec</w:t>
      </w:r>
      <w:proofErr w:type="spellEnd"/>
      <w:r w:rsidR="00287041" w:rsidRPr="00287041">
        <w:rPr>
          <w:rFonts w:cs="Arial"/>
          <w:bCs/>
          <w:szCs w:val="22"/>
          <w:lang w:val="en-US"/>
        </w:rPr>
        <w:t xml:space="preserve"> </w:t>
      </w:r>
      <w:r w:rsidR="001E3543">
        <w:rPr>
          <w:rFonts w:cs="Arial"/>
          <w:bCs/>
          <w:szCs w:val="22"/>
          <w:lang w:val="en-US"/>
        </w:rPr>
        <w:t>07/</w:t>
      </w:r>
      <w:r w:rsidR="00287041" w:rsidRPr="00287041">
        <w:rPr>
          <w:rFonts w:cs="Arial"/>
          <w:bCs/>
          <w:szCs w:val="22"/>
          <w:lang w:val="en-US"/>
        </w:rPr>
        <w:t>2021 –</w:t>
      </w:r>
      <w:r w:rsidR="001E3543">
        <w:rPr>
          <w:rFonts w:cs="Arial"/>
          <w:bCs/>
          <w:szCs w:val="22"/>
          <w:lang w:val="en-US"/>
        </w:rPr>
        <w:t xml:space="preserve"> </w:t>
      </w:r>
      <w:r w:rsidR="009449E0">
        <w:rPr>
          <w:rFonts w:cs="Arial"/>
          <w:bCs/>
          <w:szCs w:val="22"/>
          <w:lang w:val="en-US"/>
        </w:rPr>
        <w:t>31.</w:t>
      </w:r>
      <w:r w:rsidR="00D36306">
        <w:rPr>
          <w:rFonts w:cs="Arial"/>
          <w:bCs/>
          <w:szCs w:val="22"/>
          <w:lang w:val="en-US"/>
        </w:rPr>
        <w:t>10</w:t>
      </w:r>
      <w:r w:rsidR="009449E0">
        <w:rPr>
          <w:rFonts w:cs="Arial"/>
          <w:bCs/>
          <w:szCs w:val="22"/>
          <w:lang w:val="en-US"/>
        </w:rPr>
        <w:t>.</w:t>
      </w:r>
      <w:r w:rsidR="00287041" w:rsidRPr="00287041">
        <w:rPr>
          <w:rFonts w:cs="Arial"/>
          <w:bCs/>
          <w:szCs w:val="22"/>
          <w:lang w:val="en-US"/>
        </w:rPr>
        <w:t>202</w:t>
      </w:r>
      <w:r w:rsidR="00D36306">
        <w:rPr>
          <w:rFonts w:cs="Arial"/>
          <w:bCs/>
          <w:szCs w:val="22"/>
          <w:lang w:val="en-US"/>
        </w:rPr>
        <w:t>1</w:t>
      </w:r>
      <w:r w:rsidR="00287041">
        <w:rPr>
          <w:rFonts w:cs="Arial"/>
          <w:bCs/>
          <w:szCs w:val="22"/>
          <w:lang w:val="en-US"/>
        </w:rPr>
        <w:t>.</w:t>
      </w:r>
      <w:r w:rsidR="005C6F64" w:rsidRPr="00287041">
        <w:rPr>
          <w:rFonts w:cs="Arial"/>
          <w:bCs/>
          <w:szCs w:val="22"/>
        </w:rPr>
        <w:t xml:space="preserve"> Změna</w:t>
      </w:r>
      <w:r w:rsidR="005C6F64" w:rsidRPr="00AB5E77">
        <w:rPr>
          <w:rFonts w:cs="Arial"/>
          <w:szCs w:val="22"/>
        </w:rPr>
        <w:t xml:space="preserve">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lastRenderedPageBreak/>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8"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9" w:name="_Ref376503882"/>
      <w:bookmarkEnd w:id="8"/>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9"/>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40C6D939"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Jméno:</w:t>
      </w:r>
      <w:r w:rsidRPr="00584922">
        <w:rPr>
          <w:rFonts w:cs="Arial"/>
          <w:szCs w:val="22"/>
        </w:rPr>
        <w:tab/>
      </w:r>
      <w:r>
        <w:rPr>
          <w:rFonts w:cs="Arial"/>
          <w:szCs w:val="22"/>
          <w:lang w:val="cs-CZ"/>
        </w:rPr>
        <w:t>Ing. Alexandr Mikuláš</w:t>
      </w:r>
    </w:p>
    <w:p w14:paraId="278829F6"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Telefon:</w:t>
      </w:r>
      <w:r w:rsidRPr="00584922">
        <w:rPr>
          <w:rFonts w:cs="Arial"/>
          <w:szCs w:val="22"/>
        </w:rPr>
        <w:tab/>
      </w:r>
      <w:r>
        <w:rPr>
          <w:rFonts w:cs="Arial"/>
          <w:szCs w:val="22"/>
          <w:lang w:val="cs-CZ"/>
        </w:rPr>
        <w:t xml:space="preserve">602 311 545 </w:t>
      </w:r>
    </w:p>
    <w:p w14:paraId="2DBE9C6F"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E-mail:</w:t>
      </w:r>
      <w:r w:rsidRPr="00584922">
        <w:rPr>
          <w:rFonts w:cs="Arial"/>
          <w:szCs w:val="22"/>
        </w:rPr>
        <w:tab/>
      </w:r>
      <w:r>
        <w:rPr>
          <w:rFonts w:cs="Arial"/>
          <w:szCs w:val="22"/>
          <w:lang w:val="cs-CZ"/>
        </w:rPr>
        <w:t>a.mikulas@spucr.cz</w:t>
      </w:r>
    </w:p>
    <w:p w14:paraId="5F9A1454" w14:textId="77777777" w:rsidR="00287041" w:rsidRDefault="00287041" w:rsidP="004B0FAE">
      <w:pPr>
        <w:pStyle w:val="TSTextlnkuslovan"/>
        <w:spacing w:after="0" w:line="240" w:lineRule="auto"/>
        <w:ind w:left="792"/>
        <w:jc w:val="both"/>
        <w:rPr>
          <w:rFonts w:cs="Arial"/>
          <w:bCs/>
          <w:szCs w:val="22"/>
        </w:rPr>
      </w:pPr>
    </w:p>
    <w:p w14:paraId="4D9BA55E" w14:textId="17241DDB"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E5A6C7" w:rsidR="00A845E6" w:rsidRPr="004404A8" w:rsidRDefault="00C56067" w:rsidP="00D652F0">
      <w:pPr>
        <w:pStyle w:val="TSTextlnkuslovan"/>
        <w:numPr>
          <w:ilvl w:val="0"/>
          <w:numId w:val="12"/>
        </w:numPr>
        <w:ind w:left="851" w:hanging="567"/>
        <w:jc w:val="both"/>
        <w:rPr>
          <w:rFonts w:cs="Arial"/>
          <w:bCs/>
          <w:szCs w:val="22"/>
          <w:lang w:val="cs-CZ"/>
        </w:rPr>
      </w:pPr>
      <w:bookmarkStart w:id="10"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proofErr w:type="gramStart"/>
      <w:r w:rsidR="00C03EF2" w:rsidRPr="00AB5E77">
        <w:rPr>
          <w:rFonts w:cs="Arial"/>
          <w:b/>
          <w:szCs w:val="22"/>
          <w:highlight w:val="yellow"/>
          <w:lang w:val="en-US"/>
        </w:rPr>
        <w:t>]</w:t>
      </w:r>
      <w:r w:rsidR="00053E0D" w:rsidRPr="00AB5E77">
        <w:rPr>
          <w:rFonts w:cs="Arial"/>
          <w:szCs w:val="22"/>
          <w:lang w:val="cs-CZ"/>
        </w:rPr>
        <w:t>,--</w:t>
      </w:r>
      <w:proofErr w:type="gramEnd"/>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10"/>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r w:rsidR="00494C78" w:rsidRPr="00AB5E77">
        <w:rPr>
          <w:rFonts w:cs="Arial"/>
          <w:bCs/>
          <w:szCs w:val="22"/>
        </w:rPr>
        <w:t>provedením</w:t>
      </w:r>
      <w:r w:rsidR="00287041">
        <w:rPr>
          <w:rFonts w:cs="Arial"/>
          <w:bCs/>
          <w:szCs w:val="22"/>
          <w:lang w:val="en-US"/>
        </w:rPr>
        <w:t xml:space="preserve"> </w:t>
      </w:r>
      <w:r w:rsidR="00DE290D" w:rsidRPr="00AB5E77">
        <w:rPr>
          <w:rFonts w:cs="Arial"/>
          <w:bCs/>
          <w:szCs w:val="22"/>
          <w:lang w:val="cs-CZ"/>
        </w:rPr>
        <w:t>jeho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652C80DF"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4B23E7C9"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4404A8">
        <w:rPr>
          <w:rFonts w:cs="Arial"/>
          <w:bCs/>
          <w:szCs w:val="22"/>
          <w:lang w:val="en-US"/>
        </w:rPr>
        <w:t>6.1.</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6DE5D710"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odst.</w:t>
      </w:r>
      <w:r w:rsidR="004404A8">
        <w:rPr>
          <w:rFonts w:cs="Arial"/>
          <w:bCs/>
          <w:szCs w:val="22"/>
          <w:lang w:val="en-US"/>
        </w:rPr>
        <w:t>6.1.</w:t>
      </w:r>
      <w:r w:rsidRPr="00AB5E77">
        <w:rPr>
          <w:rFonts w:cs="Arial"/>
          <w:szCs w:val="22"/>
        </w:rPr>
        <w:t>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78A3602E" w14:textId="77777777" w:rsidR="004404A8" w:rsidRDefault="004404A8" w:rsidP="00467CFD">
      <w:pPr>
        <w:pStyle w:val="Odstavecseseznamem"/>
        <w:spacing w:after="0" w:line="240" w:lineRule="auto"/>
        <w:ind w:left="709"/>
        <w:contextualSpacing w:val="0"/>
        <w:jc w:val="center"/>
        <w:rPr>
          <w:rFonts w:ascii="Times New Roman" w:hAnsi="Times New Roman"/>
          <w:b/>
          <w:szCs w:val="22"/>
        </w:rPr>
      </w:pPr>
    </w:p>
    <w:p w14:paraId="45522D6A" w14:textId="4F8D3E7F"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1FAD5C6E"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4404A8">
        <w:rPr>
          <w:rFonts w:cs="Arial"/>
          <w:szCs w:val="22"/>
          <w:lang w:val="cs-CZ"/>
        </w:rPr>
        <w:t xml:space="preserve">2500 </w:t>
      </w:r>
      <w:proofErr w:type="gramStart"/>
      <w:r w:rsidR="004404A8">
        <w:rPr>
          <w:rFonts w:cs="Arial"/>
          <w:szCs w:val="22"/>
          <w:lang w:val="cs-CZ"/>
        </w:rPr>
        <w:t>Kč</w:t>
      </w:r>
      <w:r w:rsidR="005837AC">
        <w:rPr>
          <w:rFonts w:cs="Arial"/>
          <w:szCs w:val="22"/>
        </w:rPr>
        <w:t xml:space="preserve">  </w:t>
      </w:r>
      <w:r w:rsidRPr="00901693">
        <w:rPr>
          <w:rFonts w:cs="Arial"/>
          <w:szCs w:val="22"/>
          <w:lang w:val="cs-CZ"/>
        </w:rPr>
        <w:t>za</w:t>
      </w:r>
      <w:proofErr w:type="gramEnd"/>
      <w:r w:rsidRPr="00901693">
        <w:rPr>
          <w:rFonts w:cs="Arial"/>
          <w:szCs w:val="22"/>
          <w:lang w:val="cs-CZ"/>
        </w:rPr>
        <w:t xml:space="preserve">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lastRenderedPageBreak/>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11" w:name="_Ref376500584"/>
      <w:r w:rsidR="00933106" w:rsidRPr="00AB5E77">
        <w:rPr>
          <w:rFonts w:cs="Arial"/>
          <w:b/>
          <w:szCs w:val="22"/>
          <w:u w:val="single"/>
        </w:rPr>
        <w:t>Změna závazku</w:t>
      </w:r>
      <w:bookmarkEnd w:id="11"/>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3B2FEF4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0CD737CF"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r w:rsidRPr="004404A8">
        <w:rPr>
          <w:rFonts w:cs="Arial"/>
          <w:szCs w:val="22"/>
        </w:rPr>
        <w:t xml:space="preserve">nejméně </w:t>
      </w:r>
      <w:r w:rsidR="004404A8" w:rsidRPr="004404A8">
        <w:rPr>
          <w:rFonts w:cs="Arial"/>
          <w:szCs w:val="22"/>
          <w:lang w:val="en-US"/>
        </w:rPr>
        <w:t xml:space="preserve">1 mil. </w:t>
      </w:r>
      <w:proofErr w:type="spellStart"/>
      <w:r w:rsidR="004404A8" w:rsidRPr="004404A8">
        <w:rPr>
          <w:rFonts w:cs="Arial"/>
          <w:szCs w:val="22"/>
          <w:lang w:val="en-US"/>
        </w:rPr>
        <w:t>Kč</w:t>
      </w:r>
      <w:proofErr w:type="spellEnd"/>
      <w:r w:rsidRPr="00901693">
        <w:rPr>
          <w:rFonts w:cs="Arial"/>
          <w:szCs w:val="22"/>
        </w:rPr>
        <w:t>. Příkazník  se zavazuje, 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7CDE37EE" w:rsidR="00901693" w:rsidRPr="004404A8" w:rsidRDefault="00901693" w:rsidP="002E2A71">
      <w:pPr>
        <w:pStyle w:val="TSTextlnkuslovan"/>
        <w:spacing w:after="0" w:line="240" w:lineRule="auto"/>
        <w:ind w:left="737" w:hanging="737"/>
        <w:jc w:val="both"/>
        <w:rPr>
          <w:rFonts w:cs="Arial"/>
          <w:szCs w:val="22"/>
          <w:lang w:val="en-US"/>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w:t>
      </w:r>
      <w:r w:rsidRPr="004404A8">
        <w:rPr>
          <w:rFonts w:cs="Arial"/>
          <w:szCs w:val="22"/>
        </w:rPr>
        <w:t xml:space="preserve">do </w:t>
      </w:r>
      <w:r w:rsidR="004404A8" w:rsidRPr="004404A8">
        <w:rPr>
          <w:rFonts w:cs="Arial"/>
          <w:szCs w:val="22"/>
          <w:lang w:val="en-US"/>
        </w:rPr>
        <w:t>30.9.2021.</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 xml:space="preserve">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w:t>
      </w:r>
      <w:r w:rsidRPr="00901693">
        <w:rPr>
          <w:rFonts w:cs="Arial"/>
          <w:szCs w:val="22"/>
        </w:rPr>
        <w:lastRenderedPageBreak/>
        <w:t>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2" w:name="_Ref376452732"/>
      <w:r w:rsidR="004733E4" w:rsidRPr="00AB5E77">
        <w:rPr>
          <w:rFonts w:cs="Arial"/>
          <w:b/>
          <w:szCs w:val="22"/>
          <w:u w:val="single"/>
        </w:rPr>
        <w:t>Ujednání všeobecná a závěrečná</w:t>
      </w:r>
      <w:bookmarkEnd w:id="12"/>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Pr="004404A8"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w:t>
      </w:r>
      <w:r w:rsidRPr="004404A8">
        <w:rPr>
          <w:rFonts w:cs="Arial"/>
          <w:szCs w:val="22"/>
          <w:lang w:val="x-none" w:eastAsia="x-none"/>
        </w:rPr>
        <w:t>registru smluv k uveřejnění prostřednictvím registru smluv</w:t>
      </w:r>
      <w:r w:rsidRPr="004404A8">
        <w:rPr>
          <w:rFonts w:cs="Arial"/>
          <w:szCs w:val="22"/>
          <w:lang w:eastAsia="x-none"/>
        </w:rPr>
        <w:t xml:space="preserve"> příkazce</w:t>
      </w:r>
      <w:r w:rsidRPr="004404A8">
        <w:rPr>
          <w:rFonts w:cs="Arial"/>
          <w:szCs w:val="22"/>
          <w:lang w:val="x-none" w:eastAsia="x-none"/>
        </w:rPr>
        <w:t>.</w:t>
      </w:r>
    </w:p>
    <w:p w14:paraId="275BA623" w14:textId="08BEBC29" w:rsidR="00321A56" w:rsidRPr="004404A8" w:rsidRDefault="00321A56" w:rsidP="00D75DD1">
      <w:pPr>
        <w:pStyle w:val="Odstavecseseznamem"/>
        <w:numPr>
          <w:ilvl w:val="1"/>
          <w:numId w:val="6"/>
        </w:numPr>
        <w:ind w:left="709" w:hanging="709"/>
        <w:jc w:val="both"/>
        <w:rPr>
          <w:rFonts w:cs="Arial"/>
          <w:szCs w:val="22"/>
          <w:lang w:val="x-none" w:eastAsia="x-none"/>
        </w:rPr>
      </w:pPr>
      <w:r w:rsidRPr="004404A8">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7777777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p w14:paraId="03843DCB" w14:textId="77777777" w:rsidR="004404A8" w:rsidRDefault="004404A8" w:rsidP="004404A8">
      <w:pPr>
        <w:pStyle w:val="TSTextlnkuslovan"/>
        <w:spacing w:after="0" w:line="240" w:lineRule="auto"/>
        <w:jc w:val="both"/>
        <w:rPr>
          <w:rFonts w:cs="Arial"/>
          <w:szCs w:val="22"/>
          <w:lang w:val="cs-CZ"/>
        </w:rPr>
      </w:pPr>
    </w:p>
    <w:p w14:paraId="46001259" w14:textId="77777777" w:rsidR="004404A8" w:rsidRDefault="004404A8" w:rsidP="004404A8">
      <w:pPr>
        <w:pStyle w:val="TSTextlnkuslovan"/>
        <w:spacing w:after="0" w:line="240" w:lineRule="auto"/>
        <w:jc w:val="both"/>
        <w:rPr>
          <w:rFonts w:cs="Arial"/>
          <w:szCs w:val="22"/>
          <w:lang w:val="cs-CZ"/>
        </w:rPr>
      </w:pPr>
    </w:p>
    <w:p w14:paraId="74614001" w14:textId="03434022" w:rsidR="004404A8" w:rsidRPr="00B463F6" w:rsidRDefault="004404A8" w:rsidP="004404A8">
      <w:pPr>
        <w:pStyle w:val="TSTextlnkuslovan"/>
        <w:spacing w:after="0" w:line="240" w:lineRule="auto"/>
        <w:jc w:val="both"/>
        <w:rPr>
          <w:rFonts w:cs="Arial"/>
          <w:szCs w:val="22"/>
          <w:lang w:val="cs-CZ"/>
        </w:rPr>
      </w:pPr>
      <w:r>
        <w:rPr>
          <w:rFonts w:cs="Arial"/>
          <w:szCs w:val="22"/>
          <w:lang w:val="cs-CZ"/>
        </w:rPr>
        <w:lastRenderedPageBreak/>
        <w:t>V Ústí nad Orlicí dne ................</w:t>
      </w:r>
      <w:r>
        <w:rPr>
          <w:rFonts w:cs="Arial"/>
          <w:szCs w:val="22"/>
          <w:lang w:val="cs-CZ"/>
        </w:rPr>
        <w:tab/>
      </w:r>
      <w:r>
        <w:rPr>
          <w:rFonts w:cs="Arial"/>
          <w:szCs w:val="22"/>
          <w:lang w:val="cs-CZ"/>
        </w:rPr>
        <w:tab/>
      </w:r>
      <w:r>
        <w:rPr>
          <w:rFonts w:cs="Arial"/>
          <w:szCs w:val="22"/>
          <w:lang w:val="cs-CZ"/>
        </w:rPr>
        <w:tab/>
        <w:t>V .......................... dne.................</w:t>
      </w:r>
    </w:p>
    <w:p w14:paraId="51E1557B" w14:textId="77777777" w:rsidR="004404A8" w:rsidRPr="00B463F6" w:rsidRDefault="004404A8" w:rsidP="004404A8">
      <w:pPr>
        <w:pStyle w:val="TSTextlnkuslovan"/>
        <w:spacing w:after="0" w:line="240" w:lineRule="auto"/>
        <w:jc w:val="both"/>
        <w:rPr>
          <w:rFonts w:cs="Arial"/>
          <w:szCs w:val="22"/>
        </w:rPr>
      </w:pPr>
    </w:p>
    <w:p w14:paraId="4C9937E9" w14:textId="77777777" w:rsidR="004404A8" w:rsidRPr="00390322" w:rsidRDefault="004404A8" w:rsidP="004404A8">
      <w:pPr>
        <w:tabs>
          <w:tab w:val="num" w:pos="567"/>
        </w:tabs>
        <w:rPr>
          <w:rFonts w:cs="Arial"/>
          <w:bCs/>
          <w:szCs w:val="22"/>
        </w:rPr>
      </w:pPr>
      <w:r w:rsidRPr="00390322">
        <w:rPr>
          <w:rFonts w:cs="Arial"/>
          <w:bCs/>
          <w:szCs w:val="22"/>
        </w:rPr>
        <w:t>Za příkazce:</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t>Za příkazníka:</w:t>
      </w:r>
    </w:p>
    <w:p w14:paraId="2D02B286" w14:textId="77777777" w:rsidR="004404A8" w:rsidRDefault="004404A8" w:rsidP="004404A8">
      <w:pPr>
        <w:tabs>
          <w:tab w:val="num" w:pos="567"/>
        </w:tabs>
        <w:spacing w:after="0"/>
        <w:rPr>
          <w:rFonts w:cs="Arial"/>
          <w:bCs/>
          <w:szCs w:val="22"/>
        </w:rPr>
      </w:pPr>
    </w:p>
    <w:p w14:paraId="5B878017" w14:textId="77777777" w:rsidR="004404A8" w:rsidRDefault="004404A8" w:rsidP="004404A8">
      <w:pPr>
        <w:tabs>
          <w:tab w:val="num" w:pos="567"/>
        </w:tabs>
        <w:spacing w:after="0"/>
        <w:rPr>
          <w:rFonts w:cs="Arial"/>
          <w:bCs/>
          <w:szCs w:val="22"/>
        </w:rPr>
      </w:pPr>
    </w:p>
    <w:p w14:paraId="7849E225" w14:textId="77777777" w:rsidR="004404A8" w:rsidRPr="00390322" w:rsidRDefault="004404A8" w:rsidP="004404A8">
      <w:pPr>
        <w:tabs>
          <w:tab w:val="num" w:pos="567"/>
        </w:tabs>
        <w:spacing w:after="0"/>
        <w:rPr>
          <w:rFonts w:cs="Arial"/>
          <w:bCs/>
          <w:szCs w:val="22"/>
        </w:rPr>
      </w:pPr>
    </w:p>
    <w:p w14:paraId="4575A5F2" w14:textId="77777777" w:rsidR="004404A8" w:rsidRDefault="004404A8" w:rsidP="004404A8">
      <w:pPr>
        <w:tabs>
          <w:tab w:val="num" w:pos="567"/>
        </w:tabs>
        <w:spacing w:after="0"/>
        <w:rPr>
          <w:rFonts w:cs="Arial"/>
          <w:bCs/>
          <w:szCs w:val="22"/>
        </w:rPr>
      </w:pPr>
      <w:r w:rsidRPr="00390322">
        <w:rPr>
          <w:rFonts w:cs="Arial"/>
          <w:bCs/>
          <w:szCs w:val="22"/>
        </w:rPr>
        <w:t>Ing. Hana Jeníčková, Ph.D.</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p>
    <w:p w14:paraId="4D6BFC2C" w14:textId="77777777" w:rsidR="004404A8" w:rsidRPr="00584922" w:rsidRDefault="004404A8" w:rsidP="004404A8">
      <w:pPr>
        <w:suppressAutoHyphens/>
        <w:rPr>
          <w:rFonts w:cs="Arial"/>
          <w:szCs w:val="22"/>
        </w:rPr>
      </w:pPr>
      <w:r w:rsidRPr="00390322">
        <w:rPr>
          <w:rFonts w:cs="Arial"/>
          <w:bCs/>
          <w:szCs w:val="22"/>
        </w:rPr>
        <w:t>vedoucí Pobočky Ústí nad Orlicí</w:t>
      </w:r>
    </w:p>
    <w:p w14:paraId="23D99B3A" w14:textId="77777777" w:rsidR="00F93EF6" w:rsidRPr="00AB5E77" w:rsidRDefault="00F93EF6" w:rsidP="00BC74A3">
      <w:pPr>
        <w:suppressAutoHyphens/>
        <w:rPr>
          <w:rFonts w:cs="Arial"/>
          <w:szCs w:val="22"/>
        </w:rPr>
      </w:pPr>
    </w:p>
    <w:sectPr w:rsidR="00F93EF6" w:rsidRPr="00AB5E77" w:rsidSect="000D5BEB">
      <w:headerReference w:type="default" r:id="rId14"/>
      <w:footerReference w:type="even" r:id="rId15"/>
      <w:footerReference w:type="default" r:id="rId16"/>
      <w:headerReference w:type="first" r:id="rId17"/>
      <w:footerReference w:type="first" r:id="rId18"/>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AA8"/>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3543"/>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041"/>
    <w:rsid w:val="00287FE5"/>
    <w:rsid w:val="00291408"/>
    <w:rsid w:val="002915A3"/>
    <w:rsid w:val="002950F6"/>
    <w:rsid w:val="002A7222"/>
    <w:rsid w:val="002C1066"/>
    <w:rsid w:val="002C7321"/>
    <w:rsid w:val="002D3C9B"/>
    <w:rsid w:val="002D6089"/>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404A8"/>
    <w:rsid w:val="00450C7A"/>
    <w:rsid w:val="0045287D"/>
    <w:rsid w:val="00462B48"/>
    <w:rsid w:val="00463A15"/>
    <w:rsid w:val="00466D89"/>
    <w:rsid w:val="00466EB4"/>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97041"/>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49E0"/>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36306"/>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A2E18843-439E-4646-BD12-1B5623C1462E}">
  <ds:schemaRefs>
    <ds:schemaRef ds:uri="http://schemas.openxmlformats.org/officeDocument/2006/bibliography"/>
  </ds:schemaRefs>
</ds:datastoreItem>
</file>

<file path=customXml/itemProps2.xml><?xml version="1.0" encoding="utf-8"?>
<ds:datastoreItem xmlns:ds="http://schemas.openxmlformats.org/officeDocument/2006/customXml" ds:itemID="{27154C6F-A887-4F3B-BDF2-028E87A1E1DA}">
  <ds:schemaRefs>
    <ds:schemaRef ds:uri="http://schemas.openxmlformats.org/officeDocument/2006/bibliography"/>
  </ds:schemaRefs>
</ds:datastoreItem>
</file>

<file path=customXml/itemProps3.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4.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6.xml><?xml version="1.0" encoding="utf-8"?>
<ds:datastoreItem xmlns:ds="http://schemas.openxmlformats.org/officeDocument/2006/customXml" ds:itemID="{4A313128-9EC9-498C-B569-9A450963FCE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3127</Words>
  <Characters>18631</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21715</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Čadová Renata Ing.</cp:lastModifiedBy>
  <cp:revision>4</cp:revision>
  <cp:lastPrinted>2014-03-27T07:20:00Z</cp:lastPrinted>
  <dcterms:created xsi:type="dcterms:W3CDTF">2021-06-07T19:40:00Z</dcterms:created>
  <dcterms:modified xsi:type="dcterms:W3CDTF">2021-06-07T19:47:00Z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